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5" w:rsidRDefault="004B0EA5" w:rsidP="009D0B90">
      <w:pPr>
        <w:jc w:val="both"/>
        <w:rPr>
          <w:rFonts w:ascii="Arial" w:hAnsi="Arial" w:cs="Arial"/>
          <w:b/>
          <w:lang w:val="es-MX"/>
        </w:rPr>
      </w:pPr>
    </w:p>
    <w:p w:rsidR="004B0EA5" w:rsidRDefault="004B0EA5" w:rsidP="009D0B90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p w:rsidR="009D0B90" w:rsidRDefault="009D0B90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Programaciones de arrendamiento de edificios;</w:t>
      </w:r>
    </w:p>
    <w:p w:rsidR="004B0EA5" w:rsidRPr="004B0EA5" w:rsidRDefault="004B0EA5" w:rsidP="004B0EA5">
      <w:pPr>
        <w:pStyle w:val="Prrafodelista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bookmarkStart w:id="0" w:name="_GoBack"/>
      <w:bookmarkEnd w:id="0"/>
      <w:r w:rsidRPr="00094445">
        <w:rPr>
          <w:rFonts w:ascii="Arial" w:hAnsi="Arial" w:cs="Arial"/>
          <w:b/>
          <w:lang w:val="es-MX"/>
        </w:rPr>
        <w:t>“Conforme a su naturaleza coordinadora, competencia y objetivo, la Secretaría de Asuntos Administrativos y de Seguridad de la Presidencia de la República, no ejecuta arrendamiento de edificios (inciso d); 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F254A8">
        <w:rPr>
          <w:rFonts w:ascii="Arial" w:hAnsi="Arial" w:cs="Arial"/>
          <w:b/>
          <w:lang w:val="es-MX"/>
        </w:rPr>
        <w:t>enero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F254A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F04375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2657475</wp:posOffset>
          </wp:positionH>
          <wp:positionV relativeFrom="paragraph">
            <wp:posOffset>-180340</wp:posOffset>
          </wp:positionV>
          <wp:extent cx="1581150" cy="11049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155" cy="1105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43F9"/>
    <w:rsid w:val="00A14B39"/>
    <w:rsid w:val="00A463F0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4723F"/>
    <w:rsid w:val="00C50D0B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293"/>
    <w:rsid w:val="00E67748"/>
    <w:rsid w:val="00E94ECB"/>
    <w:rsid w:val="00EC358B"/>
    <w:rsid w:val="00EE5CBA"/>
    <w:rsid w:val="00EE63F2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58C3E0C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5DC6-E830-449C-B23C-71967CB1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2022-04-04T14:43:00Z</cp:lastPrinted>
  <dcterms:created xsi:type="dcterms:W3CDTF">2022-04-04T14:43:00Z</dcterms:created>
  <dcterms:modified xsi:type="dcterms:W3CDTF">2024-02-01T17:29:00Z</dcterms:modified>
</cp:coreProperties>
</file>