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CE7B51">
        <w:rPr>
          <w:rFonts w:ascii="Arial" w:hAnsi="Arial" w:cs="Arial"/>
          <w:b/>
          <w:lang w:val="es-MX"/>
        </w:rPr>
        <w:t>juni</w:t>
      </w:r>
      <w:bookmarkStart w:id="0" w:name="_GoBack"/>
      <w:bookmarkEnd w:id="0"/>
      <w:r w:rsidR="00EF1E9A">
        <w:rPr>
          <w:rFonts w:ascii="Arial" w:hAnsi="Arial" w:cs="Arial"/>
          <w:b/>
          <w:lang w:val="es-MX"/>
        </w:rPr>
        <w:t>o</w:t>
      </w:r>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E7B51"/>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C2FB40"/>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D706-9C7A-47E1-829C-80E0977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2024-07-02T16:35:00Z</dcterms:modified>
</cp:coreProperties>
</file>