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F645B4">
        <w:rPr>
          <w:rFonts w:ascii="Arial" w:hAnsi="Arial" w:cs="Arial"/>
          <w:b/>
          <w:lang w:val="es-MX"/>
        </w:rPr>
        <w:t>juni</w:t>
      </w:r>
      <w:bookmarkStart w:id="0" w:name="_GoBack"/>
      <w:bookmarkEnd w:id="0"/>
      <w:r w:rsidR="007125AE">
        <w:rPr>
          <w:rFonts w:ascii="Arial" w:hAnsi="Arial" w:cs="Arial"/>
          <w:b/>
          <w:lang w:val="es-MX"/>
        </w:rPr>
        <w:t>o</w:t>
      </w:r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F645B4" w:rsidRPr="00F645B4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645B4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B3C973B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Ingrid E. Gonzalez</cp:lastModifiedBy>
  <cp:revision>24</cp:revision>
  <cp:lastPrinted>2023-09-01T18:24:00Z</cp:lastPrinted>
  <dcterms:created xsi:type="dcterms:W3CDTF">2022-04-04T15:14:00Z</dcterms:created>
  <dcterms:modified xsi:type="dcterms:W3CDTF">2024-07-02T17:54:00Z</dcterms:modified>
</cp:coreProperties>
</file>