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D42BF6" w:rsidP="00A522D7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Decreto </w:t>
      </w:r>
      <w:r w:rsidR="00B03050">
        <w:rPr>
          <w:rFonts w:ascii="Arial" w:eastAsia="Times New Roman" w:hAnsi="Arial" w:cs="Arial"/>
          <w:b/>
          <w:lang w:val="es-MX" w:eastAsia="es-ES"/>
        </w:rPr>
        <w:t>36-2024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“Ley del Presupuesto General de Ingresos y Egresos del Estado para el Ejercicio Fiscal Dos Mil </w:t>
      </w:r>
      <w:r w:rsidR="007062ED">
        <w:rPr>
          <w:rFonts w:ascii="Arial" w:eastAsia="Times New Roman" w:hAnsi="Arial" w:cs="Arial"/>
          <w:b/>
          <w:lang w:val="es-MX" w:eastAsia="es-ES"/>
        </w:rPr>
        <w:t>Veinticinco</w:t>
      </w:r>
      <w:r w:rsidRPr="00221D0E">
        <w:rPr>
          <w:rFonts w:ascii="Arial" w:eastAsia="Times New Roman" w:hAnsi="Arial" w:cs="Arial"/>
          <w:b/>
          <w:lang w:val="es-MX" w:eastAsia="es-ES"/>
        </w:rPr>
        <w:t xml:space="preserve">”, </w:t>
      </w:r>
      <w:r w:rsidR="007062ED">
        <w:rPr>
          <w:rFonts w:ascii="Arial" w:eastAsia="Times New Roman" w:hAnsi="Arial" w:cs="Arial"/>
          <w:b/>
          <w:lang w:val="es-MX" w:eastAsia="es-ES"/>
        </w:rPr>
        <w:t>Artículo 96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</w:t>
      </w:r>
      <w:r w:rsidR="00FA58B3">
        <w:rPr>
          <w:rFonts w:ascii="Arial" w:eastAsia="Times New Roman" w:hAnsi="Arial" w:cs="Arial"/>
          <w:lang w:val="es-MX" w:eastAsia="es-ES"/>
        </w:rPr>
        <w:t xml:space="preserve"> </w:t>
      </w:r>
      <w:r w:rsidR="00FA58B3" w:rsidRPr="00FA58B3">
        <w:rPr>
          <w:rFonts w:ascii="Arial" w:hAnsi="Arial" w:cs="Arial"/>
        </w:rPr>
        <w:t>utilizando el formato que establezca el Ministerio de Finanzas Públicas, dentro de los treinta (30) días calendario de finalizado cada trimestre.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</w:t>
      </w:r>
      <w:bookmarkStart w:id="0" w:name="_GoBack"/>
      <w:bookmarkEnd w:id="0"/>
      <w:r w:rsidRPr="00221D0E">
        <w:rPr>
          <w:rFonts w:ascii="Arial" w:eastAsia="Times New Roman" w:hAnsi="Arial" w:cs="Arial"/>
          <w:lang w:val="es-MX" w:eastAsia="es-ES"/>
        </w:rPr>
        <w:t>tema de Información de Inversión Pública (SNIP), conforme a la legislación y normativa vigente.</w:t>
      </w: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DA1FB1">
        <w:rPr>
          <w:rFonts w:ascii="Arial" w:hAnsi="Arial" w:cs="Arial"/>
          <w:b/>
          <w:lang w:val="es-MX"/>
        </w:rPr>
        <w:t>marzo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471720">
        <w:rPr>
          <w:rFonts w:ascii="Arial" w:hAnsi="Arial" w:cs="Arial"/>
          <w:b/>
          <w:lang w:val="es-MX"/>
        </w:rPr>
        <w:t>5.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4803DC" w:rsidRPr="004803DC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803DC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>KAST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Pr="00DC1DEB" w:rsidRDefault="00A40B7D" w:rsidP="00CC082E">
    <w:pPr>
      <w:pStyle w:val="Encabezado"/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82E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558DC61" wp14:editId="6D0B6867">
          <wp:simplePos x="0" y="0"/>
          <wp:positionH relativeFrom="margin">
            <wp:posOffset>3749040</wp:posOffset>
          </wp:positionH>
          <wp:positionV relativeFrom="paragraph">
            <wp:posOffset>-325755</wp:posOffset>
          </wp:positionV>
          <wp:extent cx="2190750" cy="11525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04F10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21701"/>
    <w:rsid w:val="00366C1A"/>
    <w:rsid w:val="00376631"/>
    <w:rsid w:val="00382C1D"/>
    <w:rsid w:val="003946C8"/>
    <w:rsid w:val="003D3BFF"/>
    <w:rsid w:val="00403FF7"/>
    <w:rsid w:val="00416355"/>
    <w:rsid w:val="00471720"/>
    <w:rsid w:val="004803DC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062ED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53064"/>
    <w:rsid w:val="009919DF"/>
    <w:rsid w:val="009C6E97"/>
    <w:rsid w:val="00A26DF9"/>
    <w:rsid w:val="00A40B7D"/>
    <w:rsid w:val="00A43DBF"/>
    <w:rsid w:val="00A4422D"/>
    <w:rsid w:val="00A522D7"/>
    <w:rsid w:val="00A65FA8"/>
    <w:rsid w:val="00A97FE7"/>
    <w:rsid w:val="00AB52D2"/>
    <w:rsid w:val="00AC7452"/>
    <w:rsid w:val="00AD7F4E"/>
    <w:rsid w:val="00B03050"/>
    <w:rsid w:val="00BF2FEA"/>
    <w:rsid w:val="00BF4A05"/>
    <w:rsid w:val="00C208C8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1FB1"/>
    <w:rsid w:val="00DA29AF"/>
    <w:rsid w:val="00DC1DEB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A58B3"/>
    <w:rsid w:val="00FC004C"/>
    <w:rsid w:val="00FC3E37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B6978FF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Karla A. Sosof Tzic</cp:lastModifiedBy>
  <cp:revision>33</cp:revision>
  <cp:lastPrinted>2024-02-01T18:18:00Z</cp:lastPrinted>
  <dcterms:created xsi:type="dcterms:W3CDTF">2022-04-04T15:14:00Z</dcterms:created>
  <dcterms:modified xsi:type="dcterms:W3CDTF">2025-04-02T15:29:00Z</dcterms:modified>
</cp:coreProperties>
</file>