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DF" w:rsidRPr="004934A4" w:rsidRDefault="00E67748" w:rsidP="00BE6709">
      <w:p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b/>
          <w:lang w:val="es-MX"/>
        </w:rPr>
        <w:t xml:space="preserve">Decreto </w:t>
      </w:r>
      <w:r w:rsidR="00F357C3" w:rsidRPr="004934A4">
        <w:rPr>
          <w:rFonts w:ascii="Bookman Old Style" w:hAnsi="Bookman Old Style"/>
          <w:b/>
          <w:lang w:val="es-MX"/>
        </w:rPr>
        <w:t>25</w:t>
      </w:r>
      <w:r w:rsidRPr="004934A4">
        <w:rPr>
          <w:rFonts w:ascii="Bookman Old Style" w:hAnsi="Bookman Old Style"/>
          <w:b/>
          <w:lang w:val="es-MX"/>
        </w:rPr>
        <w:t>-</w:t>
      </w:r>
      <w:r w:rsidR="00F357C3" w:rsidRPr="004934A4">
        <w:rPr>
          <w:rFonts w:ascii="Bookman Old Style" w:hAnsi="Bookman Old Style"/>
          <w:b/>
          <w:lang w:val="es-MX"/>
        </w:rPr>
        <w:t>2018</w:t>
      </w:r>
      <w:r w:rsidRPr="004934A4">
        <w:rPr>
          <w:rFonts w:ascii="Bookman Old Style" w:hAnsi="Bookman Old Style"/>
          <w:b/>
          <w:lang w:val="es-MX"/>
        </w:rPr>
        <w:t xml:space="preserve"> “Ley del Presupuesto</w:t>
      </w:r>
      <w:r w:rsidR="00F357C3" w:rsidRPr="004934A4">
        <w:rPr>
          <w:rFonts w:ascii="Bookman Old Style" w:hAnsi="Bookman Old Style"/>
          <w:b/>
          <w:lang w:val="es-MX"/>
        </w:rPr>
        <w:t xml:space="preserve"> General de Ingresos y Egresos del Estado para el Ejercicio Fiscal Dos Mil Diecinueve</w:t>
      </w:r>
      <w:r w:rsidRPr="004934A4">
        <w:rPr>
          <w:rFonts w:ascii="Bookman Old Style" w:hAnsi="Bookman Old Style"/>
          <w:b/>
          <w:lang w:val="es-MX"/>
        </w:rPr>
        <w:t xml:space="preserve">”, Artículo </w:t>
      </w:r>
      <w:r w:rsidR="00E97CDF" w:rsidRPr="004934A4">
        <w:rPr>
          <w:rFonts w:ascii="Bookman Old Style" w:hAnsi="Bookman Old Style"/>
          <w:b/>
          <w:lang w:val="es-MX"/>
        </w:rPr>
        <w:t>8</w:t>
      </w:r>
      <w:r w:rsidR="00250C29" w:rsidRPr="004934A4">
        <w:rPr>
          <w:rFonts w:ascii="Bookman Old Style" w:hAnsi="Bookman Old Style"/>
          <w:b/>
          <w:lang w:val="es-MX"/>
        </w:rPr>
        <w:t>5</w:t>
      </w:r>
      <w:r w:rsidR="005807BD" w:rsidRPr="004934A4">
        <w:rPr>
          <w:rFonts w:ascii="Bookman Old Style" w:hAnsi="Bookman Old Style"/>
          <w:b/>
          <w:lang w:val="es-MX"/>
        </w:rPr>
        <w:t>.</w:t>
      </w:r>
      <w:r w:rsidRPr="004934A4">
        <w:rPr>
          <w:rFonts w:ascii="Bookman Old Style" w:hAnsi="Bookman Old Style"/>
          <w:b/>
          <w:lang w:val="es-MX"/>
        </w:rPr>
        <w:t xml:space="preserve"> </w:t>
      </w:r>
      <w:r w:rsidR="00E97CDF" w:rsidRPr="004934A4">
        <w:rPr>
          <w:rFonts w:ascii="Bookman Old Style" w:hAnsi="Bookman Old Style"/>
          <w:b/>
          <w:lang w:val="es-MX"/>
        </w:rPr>
        <w:t>Obligaciones de las entidades públicas con relación a los fideicomisos constituidos con recursos del Estado</w:t>
      </w:r>
      <w:r w:rsidR="00250C29" w:rsidRPr="004934A4">
        <w:rPr>
          <w:rFonts w:ascii="Bookman Old Style" w:hAnsi="Bookman Old Style"/>
          <w:b/>
          <w:lang w:val="es-MX"/>
        </w:rPr>
        <w:t>.</w:t>
      </w:r>
      <w:r w:rsidR="00E97CDF" w:rsidRPr="004934A4">
        <w:rPr>
          <w:rFonts w:ascii="Bookman Old Style" w:hAnsi="Bookman Old Style"/>
          <w:b/>
          <w:lang w:val="es-MX"/>
        </w:rPr>
        <w:t xml:space="preserve"> </w:t>
      </w:r>
      <w:r w:rsidR="00E97CDF" w:rsidRPr="004934A4">
        <w:rPr>
          <w:rFonts w:ascii="Bookman Old Style" w:hAnsi="Bookman Old Style"/>
          <w:lang w:val="es-MX"/>
        </w:rPr>
        <w:t>En adición a las obligaciones contenidas en el contrato de fideicomiso, las entidades responsables de los mismos deberán:</w:t>
      </w:r>
    </w:p>
    <w:p w:rsidR="00BE6709" w:rsidRPr="004934A4" w:rsidRDefault="00BE6709" w:rsidP="00BE6709">
      <w:pPr>
        <w:jc w:val="both"/>
        <w:rPr>
          <w:rFonts w:ascii="Bookman Old Style" w:hAnsi="Bookman Old Style"/>
          <w:lang w:val="es-MX"/>
        </w:rPr>
      </w:pPr>
    </w:p>
    <w:p w:rsidR="00E97CDF" w:rsidRPr="004934A4" w:rsidRDefault="00E97CDF" w:rsidP="00E97CDF">
      <w:pPr>
        <w:pStyle w:val="Prrafodelista"/>
        <w:numPr>
          <w:ilvl w:val="0"/>
          <w:numId w:val="15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Obtener dictamen del Ministerio de Finanzas Públicas, a través de la Dirección de Fideicomisos, previo a constituir, modificar o extinguir los contratos de fideicomiso.</w:t>
      </w:r>
    </w:p>
    <w:p w:rsidR="00E97CDF" w:rsidRPr="004934A4" w:rsidRDefault="00E97CDF" w:rsidP="00E97CDF">
      <w:pPr>
        <w:pStyle w:val="Prrafodelista"/>
        <w:jc w:val="both"/>
        <w:rPr>
          <w:rFonts w:ascii="Bookman Old Style" w:hAnsi="Bookman Old Style"/>
          <w:lang w:val="es-MX"/>
        </w:rPr>
      </w:pPr>
    </w:p>
    <w:p w:rsidR="00E97CDF" w:rsidRPr="004934A4" w:rsidRDefault="00E97CDF" w:rsidP="00E97CDF">
      <w:pPr>
        <w:pStyle w:val="Prrafodelista"/>
        <w:numPr>
          <w:ilvl w:val="0"/>
          <w:numId w:val="15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Hasta la liquidación del fideicomiso:</w:t>
      </w:r>
    </w:p>
    <w:p w:rsidR="00E97CDF" w:rsidRPr="004934A4" w:rsidRDefault="00E97CDF" w:rsidP="00E97CDF">
      <w:pPr>
        <w:pStyle w:val="Prrafodelista"/>
        <w:rPr>
          <w:rFonts w:ascii="Bookman Old Style" w:hAnsi="Bookman Old Style"/>
          <w:lang w:val="es-MX"/>
        </w:rPr>
      </w:pPr>
    </w:p>
    <w:p w:rsidR="00E97CDF" w:rsidRPr="004934A4" w:rsidRDefault="00E97CDF" w:rsidP="00E97CDF">
      <w:pPr>
        <w:pStyle w:val="Prrafodelista"/>
        <w:numPr>
          <w:ilvl w:val="1"/>
          <w:numId w:val="15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Remitir mensualmente los estados financieros definitivos al Ministerio de Finanzas Públicas, a través de la Dirección de Fideicomisos, al Congreso de la República de Guatemala y a la Contraloría General de Cuentas, por medios informáticos y otros que se establezcan, dentro de los primeros quince (15) días calendario del mes siguiente.</w:t>
      </w:r>
    </w:p>
    <w:p w:rsidR="00E97CDF" w:rsidRPr="004934A4" w:rsidRDefault="00E97CDF" w:rsidP="00E97CDF">
      <w:pPr>
        <w:pStyle w:val="Prrafodelista"/>
        <w:numPr>
          <w:ilvl w:val="1"/>
          <w:numId w:val="15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Requerir al fiduciario y poner a disposición de la Contraloría General de Cuentas, los órganos competentes del Ministerio de Finanzas Públicas y las Unidades de Auditoría Interna de la institución que ejerza la representación del Estado como fideicomitente, la documentación relativa a las operaciones del fideicomiso, cuando dichas instituciones lo soliciten por escrito.</w:t>
      </w:r>
    </w:p>
    <w:p w:rsidR="00E97CDF" w:rsidRDefault="00E97CDF" w:rsidP="00E97CDF">
      <w:pPr>
        <w:pStyle w:val="Prrafodelista"/>
        <w:numPr>
          <w:ilvl w:val="1"/>
          <w:numId w:val="15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Regularizar los bienes que se adquieran con los fondos del fideicomiso, de acuerdo a la normativa vigente.</w:t>
      </w:r>
    </w:p>
    <w:p w:rsidR="004934A4" w:rsidRPr="004934A4" w:rsidRDefault="004934A4" w:rsidP="004934A4">
      <w:pPr>
        <w:pStyle w:val="Prrafodelista"/>
        <w:ind w:left="1440"/>
        <w:jc w:val="both"/>
        <w:rPr>
          <w:rFonts w:ascii="Bookman Old Style" w:hAnsi="Bookman Old Style"/>
          <w:lang w:val="es-MX"/>
        </w:rPr>
      </w:pPr>
    </w:p>
    <w:p w:rsidR="00E97CDF" w:rsidRDefault="00E97CDF" w:rsidP="00E97CDF">
      <w:pPr>
        <w:pStyle w:val="Prrafodelista"/>
        <w:numPr>
          <w:ilvl w:val="0"/>
          <w:numId w:val="15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Cuando los fideicomisos se encuentren vigentes, las entidades responsables deberán, en adición a las disposiciones anteriores:</w:t>
      </w:r>
    </w:p>
    <w:p w:rsidR="004934A4" w:rsidRPr="004934A4" w:rsidRDefault="004934A4" w:rsidP="004934A4">
      <w:pPr>
        <w:pStyle w:val="Prrafodelista"/>
        <w:jc w:val="both"/>
        <w:rPr>
          <w:rFonts w:ascii="Bookman Old Style" w:hAnsi="Bookman Old Style"/>
          <w:lang w:val="es-MX"/>
        </w:rPr>
      </w:pPr>
    </w:p>
    <w:p w:rsidR="00E97CDF" w:rsidRPr="004934A4" w:rsidRDefault="00E97CDF" w:rsidP="00E97CDF">
      <w:pPr>
        <w:pStyle w:val="Prrafodelista"/>
        <w:numPr>
          <w:ilvl w:val="1"/>
          <w:numId w:val="15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Ejercer el derecho de supervisar o auditar las actividades de los contratos de fideicomiso, de conformidad con lo establecido en los mismos.</w:t>
      </w:r>
    </w:p>
    <w:p w:rsidR="00E97CDF" w:rsidRPr="004934A4" w:rsidRDefault="00E97CDF" w:rsidP="00E97CDF">
      <w:pPr>
        <w:pStyle w:val="Prrafodelista"/>
        <w:numPr>
          <w:ilvl w:val="1"/>
          <w:numId w:val="15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Elaborar informes cuatrimestrales de conformidad con la naturaleza del fideicomiso, utilizando los formatos que establezca el Ministerio de Finanzas Públicas.</w:t>
      </w:r>
    </w:p>
    <w:p w:rsidR="00E97CDF" w:rsidRDefault="00E97CDF" w:rsidP="00E97CDF">
      <w:pPr>
        <w:pStyle w:val="Prrafodelista"/>
        <w:ind w:left="1440"/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Los informes deberán ser enviados en formato físico y electrónico a la Contraloría General de Cuentas, al Congreso de la República de Guatemala y al Ministerio de Finanzas Públicas, por conducto de la Dirección de Fideicomisos, dentro del mes siguiente al cierre de cada cuatrimestre, y deberán contener como mínimo:</w:t>
      </w:r>
    </w:p>
    <w:p w:rsidR="004934A4" w:rsidRPr="004934A4" w:rsidRDefault="004934A4" w:rsidP="00E97CDF">
      <w:pPr>
        <w:pStyle w:val="Prrafodelista"/>
        <w:ind w:left="1440"/>
        <w:jc w:val="both"/>
        <w:rPr>
          <w:rFonts w:ascii="Bookman Old Style" w:hAnsi="Bookman Old Style"/>
          <w:lang w:val="es-MX"/>
        </w:rPr>
      </w:pPr>
    </w:p>
    <w:p w:rsidR="00E97CDF" w:rsidRPr="004934A4" w:rsidRDefault="004934A4" w:rsidP="004934A4">
      <w:pPr>
        <w:pStyle w:val="Prrafodelista"/>
        <w:numPr>
          <w:ilvl w:val="0"/>
          <w:numId w:val="16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Ejecución física y financiera de los fideicomisos,</w:t>
      </w:r>
    </w:p>
    <w:p w:rsidR="004934A4" w:rsidRPr="004934A4" w:rsidRDefault="004934A4" w:rsidP="004934A4">
      <w:pPr>
        <w:pStyle w:val="Prrafodelista"/>
        <w:numPr>
          <w:ilvl w:val="0"/>
          <w:numId w:val="16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lastRenderedPageBreak/>
        <w:t>Detalle de las adquisiciones, así como las contrataciones de bienes, servicios u obras realizadas con fondos del fideicomiso, y las obligaciones y compromisos financieros que están pendientes de pago y/o regularización al cierre de cada cuatrimestre;</w:t>
      </w:r>
    </w:p>
    <w:p w:rsidR="004934A4" w:rsidRPr="004934A4" w:rsidRDefault="004934A4" w:rsidP="004934A4">
      <w:pPr>
        <w:pStyle w:val="Prrafodelista"/>
        <w:numPr>
          <w:ilvl w:val="0"/>
          <w:numId w:val="16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En el caso de los fideicomisos crediticios, un informe de la situación detallada de la cartera;</w:t>
      </w:r>
    </w:p>
    <w:p w:rsidR="004934A4" w:rsidRPr="004934A4" w:rsidRDefault="004934A4" w:rsidP="004934A4">
      <w:pPr>
        <w:pStyle w:val="Prrafodelista"/>
        <w:numPr>
          <w:ilvl w:val="0"/>
          <w:numId w:val="16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Documento narrativo sobre el cumplimiento de metas y calidad del gasto en el periodo de que se trate;</w:t>
      </w:r>
    </w:p>
    <w:p w:rsidR="004934A4" w:rsidRDefault="004934A4" w:rsidP="004934A4">
      <w:pPr>
        <w:pStyle w:val="Prrafodelista"/>
        <w:numPr>
          <w:ilvl w:val="0"/>
          <w:numId w:val="16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Publicar dichos informes y los estados financieros en sus portales web.</w:t>
      </w:r>
    </w:p>
    <w:p w:rsidR="004934A4" w:rsidRPr="004934A4" w:rsidRDefault="004934A4" w:rsidP="004934A4">
      <w:pPr>
        <w:pStyle w:val="Prrafodelista"/>
        <w:ind w:left="2160"/>
        <w:jc w:val="both"/>
        <w:rPr>
          <w:rFonts w:ascii="Bookman Old Style" w:hAnsi="Bookman Old Style"/>
          <w:lang w:val="es-MX"/>
        </w:rPr>
      </w:pPr>
    </w:p>
    <w:p w:rsidR="004934A4" w:rsidRPr="004934A4" w:rsidRDefault="004934A4" w:rsidP="004934A4">
      <w:pPr>
        <w:pStyle w:val="Prrafodelista"/>
        <w:numPr>
          <w:ilvl w:val="1"/>
          <w:numId w:val="15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Publicar los informes cuatrimestrales a los que se refiere la literal anterior y los estados financieros, en el portal web de la entidad responsable.</w:t>
      </w:r>
    </w:p>
    <w:p w:rsidR="004934A4" w:rsidRPr="004934A4" w:rsidRDefault="004934A4" w:rsidP="004934A4">
      <w:pPr>
        <w:pStyle w:val="Prrafodelista"/>
        <w:ind w:left="1440"/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La dirección de fideicomisos publicará la información consolidada, en el portal web del Ministerio de Finanzas Públicas.</w:t>
      </w:r>
    </w:p>
    <w:p w:rsidR="004934A4" w:rsidRPr="004934A4" w:rsidRDefault="004934A4" w:rsidP="004934A4">
      <w:pPr>
        <w:pStyle w:val="Prrafodelista"/>
        <w:ind w:left="1440"/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En ambos casos, la publicación deberá realizarse dentro de los treinta (30) días hábiles siguientes al vencimiento del plazo de la obligación.</w:t>
      </w:r>
    </w:p>
    <w:p w:rsidR="004934A4" w:rsidRPr="004934A4" w:rsidRDefault="004934A4" w:rsidP="004934A4">
      <w:pPr>
        <w:pStyle w:val="Prrafodelista"/>
        <w:numPr>
          <w:ilvl w:val="1"/>
          <w:numId w:val="15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Requerir al fiduciario y poner a disposición de la Dirección de Contabilidad del Estado, Dirección Financiera y otras dependencias del Ministerio de Finanzas Públicas que lo requieran, la documentación de respaldo de las operaciones financieras, contables y de cartera efectuadas por el fideicomiso, para los efectos que corresponda según la normativa específica vigente.</w:t>
      </w:r>
    </w:p>
    <w:p w:rsidR="004934A4" w:rsidRPr="004934A4" w:rsidRDefault="004934A4" w:rsidP="004934A4">
      <w:pPr>
        <w:pStyle w:val="Prrafodelista"/>
        <w:ind w:left="1440"/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Se exceptúan de esta obligación, los aportes que por disposición legal se reciban del Presupuesto General de Ingresos y Egresos del Estado en calidad de transferencia.</w:t>
      </w:r>
    </w:p>
    <w:p w:rsidR="004934A4" w:rsidRPr="004934A4" w:rsidRDefault="004934A4" w:rsidP="004934A4">
      <w:pPr>
        <w:pStyle w:val="Prrafodelista"/>
        <w:numPr>
          <w:ilvl w:val="1"/>
          <w:numId w:val="15"/>
        </w:numPr>
        <w:jc w:val="both"/>
        <w:rPr>
          <w:rFonts w:ascii="Bookman Old Style" w:hAnsi="Bookman Old Style"/>
          <w:lang w:val="es-MX"/>
        </w:rPr>
      </w:pPr>
      <w:r w:rsidRPr="004934A4">
        <w:rPr>
          <w:rFonts w:ascii="Bookman Old Style" w:hAnsi="Bookman Old Style"/>
          <w:lang w:val="es-MX"/>
        </w:rPr>
        <w:t>Registrar, cuando corresponda, la información relativa a los proyectos de inversión y su avance físico y financiero en el Sistema de Información de Inversión Pública (</w:t>
      </w:r>
      <w:proofErr w:type="spellStart"/>
      <w:r w:rsidRPr="004934A4">
        <w:rPr>
          <w:rFonts w:ascii="Bookman Old Style" w:hAnsi="Bookman Old Style"/>
          <w:lang w:val="es-MX"/>
        </w:rPr>
        <w:t>Sinip</w:t>
      </w:r>
      <w:proofErr w:type="spellEnd"/>
      <w:r w:rsidRPr="004934A4">
        <w:rPr>
          <w:rFonts w:ascii="Bookman Old Style" w:hAnsi="Bookman Old Style"/>
          <w:lang w:val="es-MX"/>
        </w:rPr>
        <w:t>), conforme a la legislación y normativa vigente.</w:t>
      </w:r>
    </w:p>
    <w:p w:rsidR="00FF69D9" w:rsidRPr="004934A4" w:rsidRDefault="00FF69D9" w:rsidP="00BE6709">
      <w:pPr>
        <w:jc w:val="both"/>
        <w:rPr>
          <w:rFonts w:ascii="Bookman Old Style" w:hAnsi="Bookman Old Style"/>
          <w:lang w:val="es-MX"/>
        </w:rPr>
      </w:pPr>
    </w:p>
    <w:p w:rsidR="00BE6709" w:rsidRPr="004934A4" w:rsidRDefault="00BE6709" w:rsidP="00BE6709">
      <w:pPr>
        <w:jc w:val="both"/>
        <w:rPr>
          <w:rFonts w:ascii="Bookman Old Style" w:hAnsi="Bookman Old Style"/>
          <w:lang w:val="es-MX"/>
        </w:rPr>
      </w:pPr>
    </w:p>
    <w:p w:rsidR="004A7E53" w:rsidRPr="004934A4" w:rsidRDefault="00BE6709" w:rsidP="00FF69D9">
      <w:pPr>
        <w:jc w:val="both"/>
        <w:rPr>
          <w:rFonts w:ascii="Bookman Old Style" w:hAnsi="Bookman Old Style"/>
          <w:b/>
          <w:lang w:val="es-MX"/>
        </w:rPr>
      </w:pPr>
      <w:r w:rsidRPr="004934A4">
        <w:rPr>
          <w:rFonts w:ascii="Bookman Old Style" w:hAnsi="Bookman Old Style"/>
          <w:b/>
          <w:lang w:val="es-MX"/>
        </w:rPr>
        <w:t>En base al artículo arriba citado, se informa que esta Secretaría</w:t>
      </w:r>
      <w:r w:rsidR="004934A4">
        <w:rPr>
          <w:rFonts w:ascii="Bookman Old Style" w:hAnsi="Bookman Old Style"/>
          <w:b/>
          <w:lang w:val="es-MX"/>
        </w:rPr>
        <w:t>, dentro de sus estructuras presupuestarias,</w:t>
      </w:r>
      <w:bookmarkStart w:id="0" w:name="_GoBack"/>
      <w:bookmarkEnd w:id="0"/>
      <w:r w:rsidRPr="004934A4">
        <w:rPr>
          <w:rFonts w:ascii="Bookman Old Style" w:hAnsi="Bookman Old Style"/>
          <w:b/>
          <w:lang w:val="es-MX"/>
        </w:rPr>
        <w:t xml:space="preserve"> </w:t>
      </w:r>
      <w:r w:rsidR="004934A4">
        <w:rPr>
          <w:rFonts w:ascii="Bookman Old Style" w:hAnsi="Bookman Old Style"/>
          <w:b/>
          <w:lang w:val="es-MX"/>
        </w:rPr>
        <w:t>no maneja fondos en fideicomisos constituidos con recursos del Estado</w:t>
      </w:r>
      <w:r w:rsidRPr="004934A4">
        <w:rPr>
          <w:rFonts w:ascii="Bookman Old Style" w:hAnsi="Bookman Old Style"/>
          <w:b/>
          <w:lang w:val="es-MX"/>
        </w:rPr>
        <w:t>.</w:t>
      </w:r>
    </w:p>
    <w:sectPr w:rsidR="004A7E53" w:rsidRPr="004934A4" w:rsidSect="00C81B72">
      <w:head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B7" w:rsidRDefault="00204FB7" w:rsidP="00995DD9">
      <w:r>
        <w:separator/>
      </w:r>
    </w:p>
  </w:endnote>
  <w:endnote w:type="continuationSeparator" w:id="0">
    <w:p w:rsidR="00204FB7" w:rsidRDefault="00204FB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B7" w:rsidRDefault="00204FB7" w:rsidP="00995DD9">
      <w:r>
        <w:separator/>
      </w:r>
    </w:p>
  </w:footnote>
  <w:footnote w:type="continuationSeparator" w:id="0">
    <w:p w:rsidR="00204FB7" w:rsidRDefault="00204FB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80"/>
      <w:gridCol w:w="5414"/>
    </w:tblGrid>
    <w:tr w:rsidR="003263CB" w:rsidTr="00631BD6">
      <w:trPr>
        <w:trHeight w:val="282"/>
      </w:trPr>
      <w:tc>
        <w:tcPr>
          <w:tcW w:w="4780" w:type="dxa"/>
          <w:vMerge w:val="restart"/>
          <w:vAlign w:val="center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  <w:r w:rsidRPr="00D46D9E">
            <w:rPr>
              <w:noProof/>
              <w:sz w:val="18"/>
              <w:szCs w:val="18"/>
              <w:lang w:val="es-GT" w:eastAsia="ja-JP"/>
            </w:rPr>
            <w:drawing>
              <wp:inline distT="0" distB="0" distL="0" distR="0" wp14:anchorId="1C790D3A" wp14:editId="6AFD2B1B">
                <wp:extent cx="1882569" cy="90000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ja Membretada 2020-2024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56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  <w:r w:rsidRPr="00D46D9E">
            <w:rPr>
              <w:rFonts w:ascii="Montserrat SemiBold" w:hAnsi="Montserrat SemiBold"/>
              <w:b/>
              <w:bCs/>
              <w:color w:val="0E1538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SECRETARÍA DE ASUNTOS ADMINISTRATIVOS Y SEGURIDAD</w:t>
          </w: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Pr="003263CB" w:rsidRDefault="003263CB" w:rsidP="00631BD6">
          <w:pPr>
            <w:snapToGrid w:val="0"/>
            <w:jc w:val="center"/>
            <w:rPr>
              <w:rFonts w:ascii="Montserrat SemiBold" w:hAnsi="Montserrat SemiBold"/>
              <w:b/>
              <w:bCs/>
              <w:color w:val="0E1538"/>
              <w:sz w:val="18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3263CB">
            <w:rPr>
              <w:rFonts w:ascii="Montserrat SemiBold" w:hAnsi="Montserrat SemiBold"/>
              <w:b/>
              <w:bCs/>
              <w:color w:val="0E1538"/>
              <w:sz w:val="20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t>DIRECCIÓN ADMINISTRATIVA Y FINANCIERA</w:t>
          </w: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  <w:r w:rsidRPr="003263CB">
            <w:rPr>
              <w:rFonts w:ascii="Montserrat SemiBold" w:hAnsi="Montserrat SemiBold"/>
              <w:b/>
              <w:bCs/>
              <w:color w:val="0E1538"/>
              <w:sz w:val="20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t>DEPARTAMENTO DE PRESUPUESTO</w:t>
          </w: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</w:p>
      </w:tc>
    </w:tr>
  </w:tbl>
  <w:p w:rsidR="003263CB" w:rsidRDefault="003263CB" w:rsidP="003263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60A8E"/>
    <w:multiLevelType w:val="hybridMultilevel"/>
    <w:tmpl w:val="8B165F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7">
      <w:start w:val="1"/>
      <w:numFmt w:val="lowerLetter"/>
      <w:lvlText w:val="%2)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1C50"/>
    <w:multiLevelType w:val="hybridMultilevel"/>
    <w:tmpl w:val="A1442AE4"/>
    <w:lvl w:ilvl="0" w:tplc="100A001B">
      <w:start w:val="1"/>
      <w:numFmt w:val="lowerRoman"/>
      <w:lvlText w:val="%1."/>
      <w:lvlJc w:val="right"/>
      <w:pPr>
        <w:ind w:left="2160" w:hanging="360"/>
      </w:p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49D"/>
    <w:multiLevelType w:val="hybridMultilevel"/>
    <w:tmpl w:val="E4E498A8"/>
    <w:lvl w:ilvl="0" w:tplc="100A0017">
      <w:start w:val="1"/>
      <w:numFmt w:val="lowerLetter"/>
      <w:lvlText w:val="%1)"/>
      <w:lvlJc w:val="left"/>
      <w:pPr>
        <w:ind w:left="2136" w:hanging="360"/>
      </w:pPr>
    </w:lvl>
    <w:lvl w:ilvl="1" w:tplc="100A0019" w:tentative="1">
      <w:start w:val="1"/>
      <w:numFmt w:val="lowerLetter"/>
      <w:lvlText w:val="%2."/>
      <w:lvlJc w:val="left"/>
      <w:pPr>
        <w:ind w:left="2856" w:hanging="360"/>
      </w:pPr>
    </w:lvl>
    <w:lvl w:ilvl="2" w:tplc="100A001B" w:tentative="1">
      <w:start w:val="1"/>
      <w:numFmt w:val="lowerRoman"/>
      <w:lvlText w:val="%3."/>
      <w:lvlJc w:val="right"/>
      <w:pPr>
        <w:ind w:left="3576" w:hanging="180"/>
      </w:pPr>
    </w:lvl>
    <w:lvl w:ilvl="3" w:tplc="100A000F" w:tentative="1">
      <w:start w:val="1"/>
      <w:numFmt w:val="decimal"/>
      <w:lvlText w:val="%4."/>
      <w:lvlJc w:val="left"/>
      <w:pPr>
        <w:ind w:left="4296" w:hanging="360"/>
      </w:pPr>
    </w:lvl>
    <w:lvl w:ilvl="4" w:tplc="100A0019" w:tentative="1">
      <w:start w:val="1"/>
      <w:numFmt w:val="lowerLetter"/>
      <w:lvlText w:val="%5."/>
      <w:lvlJc w:val="left"/>
      <w:pPr>
        <w:ind w:left="5016" w:hanging="360"/>
      </w:pPr>
    </w:lvl>
    <w:lvl w:ilvl="5" w:tplc="100A001B" w:tentative="1">
      <w:start w:val="1"/>
      <w:numFmt w:val="lowerRoman"/>
      <w:lvlText w:val="%6."/>
      <w:lvlJc w:val="right"/>
      <w:pPr>
        <w:ind w:left="5736" w:hanging="180"/>
      </w:pPr>
    </w:lvl>
    <w:lvl w:ilvl="6" w:tplc="100A000F" w:tentative="1">
      <w:start w:val="1"/>
      <w:numFmt w:val="decimal"/>
      <w:lvlText w:val="%7."/>
      <w:lvlJc w:val="left"/>
      <w:pPr>
        <w:ind w:left="6456" w:hanging="360"/>
      </w:pPr>
    </w:lvl>
    <w:lvl w:ilvl="7" w:tplc="100A0019" w:tentative="1">
      <w:start w:val="1"/>
      <w:numFmt w:val="lowerLetter"/>
      <w:lvlText w:val="%8."/>
      <w:lvlJc w:val="left"/>
      <w:pPr>
        <w:ind w:left="7176" w:hanging="360"/>
      </w:pPr>
    </w:lvl>
    <w:lvl w:ilvl="8" w:tplc="10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04FB7"/>
    <w:rsid w:val="00250C29"/>
    <w:rsid w:val="002543D2"/>
    <w:rsid w:val="00255BBD"/>
    <w:rsid w:val="00267D5F"/>
    <w:rsid w:val="00290866"/>
    <w:rsid w:val="00294903"/>
    <w:rsid w:val="002A2487"/>
    <w:rsid w:val="002E1790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34A4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25B"/>
    <w:rsid w:val="007D46C4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7CDF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46E9-7A52-40CB-9B69-F8321E1A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gustavo martinez</cp:lastModifiedBy>
  <cp:revision>2</cp:revision>
  <cp:lastPrinted>2020-10-17T21:41:00Z</cp:lastPrinted>
  <dcterms:created xsi:type="dcterms:W3CDTF">2020-10-17T21:42:00Z</dcterms:created>
  <dcterms:modified xsi:type="dcterms:W3CDTF">2020-10-17T21:42:00Z</dcterms:modified>
</cp:coreProperties>
</file>